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C93A1" w14:textId="2DFCB174"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w:t>
      </w:r>
      <w:r w:rsidR="005E77E7">
        <w:rPr>
          <w:rFonts w:ascii="Arial" w:eastAsia="Arial Unicode MS" w:hAnsi="Arial" w:hint="eastAsia"/>
          <w:b/>
          <w:bCs/>
          <w:kern w:val="0"/>
          <w:sz w:val="28"/>
          <w:szCs w:val="28"/>
        </w:rPr>
        <w:t>1</w:t>
      </w:r>
      <w:r w:rsidRPr="002C6C08">
        <w:rPr>
          <w:rFonts w:ascii="Arial" w:eastAsia="Arial Unicode MS" w:hAnsi="Arial"/>
          <w:b/>
          <w:bCs/>
          <w:kern w:val="0"/>
          <w:sz w:val="28"/>
          <w:szCs w:val="28"/>
          <w:lang w:eastAsia="en-US"/>
        </w:rPr>
        <w:tab/>
      </w:r>
      <w:r w:rsidR="00A71652" w:rsidRPr="00A71652">
        <w:rPr>
          <w:rFonts w:ascii="Arial" w:eastAsia="Arial Unicode MS" w:hAnsi="Arial"/>
          <w:b/>
          <w:bCs/>
          <w:kern w:val="0"/>
          <w:sz w:val="28"/>
          <w:szCs w:val="28"/>
        </w:rPr>
        <w:t>R2-230115</w:t>
      </w:r>
      <w:r w:rsidR="00A71652">
        <w:rPr>
          <w:rFonts w:ascii="Arial" w:eastAsia="Arial Unicode MS" w:hAnsi="Arial" w:hint="eastAsia"/>
          <w:b/>
          <w:bCs/>
          <w:kern w:val="0"/>
          <w:sz w:val="28"/>
          <w:szCs w:val="28"/>
        </w:rPr>
        <w:t>5</w:t>
      </w:r>
    </w:p>
    <w:p w14:paraId="7AC853B0" w14:textId="0261BF89" w:rsidR="003E16F6" w:rsidRPr="002C6C08" w:rsidRDefault="005E77E7"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Athens, Greece</w:t>
      </w:r>
      <w:r w:rsidR="000C4A4F">
        <w:rPr>
          <w:rFonts w:ascii="Arial" w:eastAsia="Arial Unicode MS" w:hAnsi="Arial"/>
          <w:b/>
          <w:bCs/>
          <w:kern w:val="0"/>
          <w:sz w:val="24"/>
          <w:szCs w:val="20"/>
        </w:rPr>
        <w:t xml:space="preserve">, </w:t>
      </w:r>
      <w:r>
        <w:rPr>
          <w:rFonts w:ascii="Arial" w:eastAsia="Arial Unicode MS" w:hAnsi="Arial"/>
          <w:b/>
          <w:bCs/>
          <w:kern w:val="0"/>
          <w:sz w:val="24"/>
          <w:szCs w:val="20"/>
        </w:rPr>
        <w:t>27 February</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Pr>
          <w:rFonts w:ascii="Arial" w:eastAsia="Arial Unicode MS" w:hAnsi="Arial"/>
          <w:b/>
          <w:bCs/>
          <w:kern w:val="0"/>
          <w:sz w:val="24"/>
          <w:szCs w:val="20"/>
        </w:rPr>
        <w:t>3</w:t>
      </w:r>
      <w:r w:rsidR="00EB0333">
        <w:rPr>
          <w:rFonts w:ascii="Arial" w:eastAsia="Arial Unicode MS" w:hAnsi="Arial"/>
          <w:b/>
          <w:bCs/>
          <w:kern w:val="0"/>
          <w:sz w:val="24"/>
          <w:szCs w:val="20"/>
        </w:rPr>
        <w:t xml:space="preserve"> </w:t>
      </w:r>
      <w:r>
        <w:rPr>
          <w:rFonts w:ascii="Arial" w:eastAsia="Arial Unicode MS" w:hAnsi="Arial"/>
          <w:b/>
          <w:bCs/>
          <w:kern w:val="0"/>
          <w:sz w:val="24"/>
          <w:szCs w:val="20"/>
        </w:rPr>
        <w:t>March</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14:paraId="723F7C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08A0B3BB" w14:textId="119AD391"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42E5C" w:rsidRPr="00542E5C">
        <w:rPr>
          <w:rFonts w:ascii="Arial" w:eastAsia="Arial Unicode MS" w:hAnsi="Arial" w:cs="Arial"/>
          <w:b/>
          <w:bCs/>
          <w:kern w:val="0"/>
          <w:sz w:val="24"/>
          <w:szCs w:val="20"/>
        </w:rPr>
        <w:t>8.4.2.3 Cell Switch</w:t>
      </w:r>
    </w:p>
    <w:p w14:paraId="181BBD6A" w14:textId="2FD6C163"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42E5C">
        <w:rPr>
          <w:rFonts w:ascii="Arial" w:eastAsia="Arial Unicode MS" w:hAnsi="Arial" w:cs="Arial"/>
          <w:b/>
          <w:bCs/>
          <w:kern w:val="0"/>
          <w:sz w:val="24"/>
          <w:szCs w:val="20"/>
        </w:rPr>
        <w:t xml:space="preserve">Cell switch </w:t>
      </w:r>
      <w:r w:rsidR="007A7144">
        <w:rPr>
          <w:rFonts w:ascii="Arial" w:eastAsia="Arial Unicode MS" w:hAnsi="Arial" w:cs="Arial"/>
          <w:b/>
          <w:bCs/>
          <w:kern w:val="0"/>
          <w:sz w:val="24"/>
          <w:szCs w:val="20"/>
        </w:rPr>
        <w:t>overview</w:t>
      </w:r>
    </w:p>
    <w:p w14:paraId="7B3E52FC"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10298B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BA87D9D"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0E8FF2B" w14:textId="4B7EFC71" w:rsidR="00FE68BC" w:rsidRDefault="00FE68BC" w:rsidP="00FE68BC">
      <w:pPr>
        <w:widowControl/>
        <w:rPr>
          <w:rFonts w:ascii="Arial" w:eastAsia="Arial Unicode MS" w:hAnsi="Arial"/>
          <w:kern w:val="0"/>
          <w:sz w:val="20"/>
          <w:szCs w:val="20"/>
        </w:rPr>
      </w:pPr>
      <w:r>
        <w:rPr>
          <w:rFonts w:ascii="Arial" w:eastAsia="Arial Unicode MS" w:hAnsi="Arial"/>
          <w:kern w:val="0"/>
          <w:sz w:val="20"/>
          <w:szCs w:val="20"/>
        </w:rPr>
        <w:t xml:space="preserve">In RAN2#119bis-e, there had been some important agreements related to cell switch in the </w:t>
      </w:r>
      <w:r w:rsidRPr="00CE317C">
        <w:rPr>
          <w:rFonts w:ascii="Arial" w:eastAsia="Arial Unicode MS" w:hAnsi="Arial"/>
          <w:kern w:val="0"/>
          <w:sz w:val="20"/>
          <w:szCs w:val="20"/>
        </w:rPr>
        <w:t xml:space="preserve">L1/L2-triggered mobility </w:t>
      </w:r>
      <w:r>
        <w:rPr>
          <w:rFonts w:ascii="Arial" w:eastAsia="Arial Unicode MS" w:hAnsi="Arial"/>
          <w:kern w:val="0"/>
          <w:sz w:val="20"/>
          <w:szCs w:val="20"/>
        </w:rPr>
        <w:t>(LTM)</w:t>
      </w:r>
      <w:r w:rsidR="00B8512D">
        <w:rPr>
          <w:rFonts w:ascii="Arial" w:eastAsia="Arial Unicode MS" w:hAnsi="Arial"/>
          <w:kern w:val="0"/>
          <w:sz w:val="20"/>
          <w:szCs w:val="20"/>
        </w:rPr>
        <w:t xml:space="preserve"> [1]</w:t>
      </w:r>
      <w:r>
        <w:rPr>
          <w:rFonts w:ascii="Arial" w:eastAsia="Arial Unicode MS" w:hAnsi="Arial"/>
          <w:kern w:val="0"/>
          <w:sz w:val="20"/>
          <w:szCs w:val="20"/>
        </w:rPr>
        <w:t>, which were updated further in RAN2#120 with the following agreements [2].</w:t>
      </w:r>
    </w:p>
    <w:p w14:paraId="61A7472D" w14:textId="77777777" w:rsidR="00751832" w:rsidRPr="002C6C08" w:rsidRDefault="00751832" w:rsidP="00FE68BC">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751832" w14:paraId="12546A4E" w14:textId="77777777" w:rsidTr="00751832">
        <w:tc>
          <w:tcPr>
            <w:tcW w:w="9629" w:type="dxa"/>
          </w:tcPr>
          <w:p w14:paraId="5E9E6450" w14:textId="77777777" w:rsidR="00751832" w:rsidRPr="00751832" w:rsidRDefault="00751832" w:rsidP="00751832">
            <w:pPr>
              <w:pStyle w:val="Agreement"/>
            </w:pPr>
            <w:r w:rsidRPr="00751832">
              <w:t>The MAC CE agreed to carry LTM related information for cell switch is used for LTM triggering of the cell switch.</w:t>
            </w:r>
          </w:p>
          <w:p w14:paraId="7D7B33AA" w14:textId="77777777" w:rsidR="00751832" w:rsidRPr="00751832" w:rsidRDefault="00751832" w:rsidP="00751832">
            <w:pPr>
              <w:pStyle w:val="Agreement"/>
            </w:pPr>
            <w:r w:rsidRPr="00751832">
              <w:t>LTM cell switch is supervised by a timer</w:t>
            </w:r>
          </w:p>
          <w:p w14:paraId="7A14FDAA" w14:textId="4D97F1A5" w:rsidR="00751832" w:rsidRPr="00751832" w:rsidRDefault="00751832" w:rsidP="003E16F6">
            <w:pPr>
              <w:pStyle w:val="Agreement"/>
            </w:pPr>
            <w:r w:rsidRPr="00751832">
              <w:t>UE arrival in the target cell need to be indicated (</w:t>
            </w:r>
            <w:r w:rsidRPr="009D3BAD">
              <w:rPr>
                <w:highlight w:val="yellow"/>
              </w:rPr>
              <w:t>somehow</w:t>
            </w:r>
            <w:r w:rsidRPr="00751832">
              <w:t>)</w:t>
            </w:r>
          </w:p>
        </w:tc>
      </w:tr>
    </w:tbl>
    <w:p w14:paraId="1F0427D9" w14:textId="5A555E7A" w:rsidR="003E16F6" w:rsidRDefault="003E16F6"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751832" w14:paraId="0CBE7878" w14:textId="77777777" w:rsidTr="00751832">
        <w:tc>
          <w:tcPr>
            <w:tcW w:w="9629" w:type="dxa"/>
          </w:tcPr>
          <w:p w14:paraId="613A6089" w14:textId="77777777" w:rsidR="00751832" w:rsidRDefault="00751832" w:rsidP="00751832">
            <w:pPr>
              <w:pStyle w:val="Agreement"/>
            </w:pPr>
            <w:r>
              <w:t>RAN2 to have the mindset to have a common design for partial MAC reset for different cell change cases in intra-DU scenario (as far as reasonable)</w:t>
            </w:r>
          </w:p>
          <w:p w14:paraId="77DDA2E1" w14:textId="5FA99D95" w:rsidR="00751832" w:rsidRPr="00751832" w:rsidRDefault="00751832" w:rsidP="00751832">
            <w:pPr>
              <w:pStyle w:val="Agreement"/>
              <w:rPr>
                <w:sz w:val="22"/>
                <w:szCs w:val="32"/>
              </w:rPr>
            </w:pPr>
            <w:r w:rsidRPr="00751832">
              <w:t>The summary in [R2-2213336] could be considered as the starting point for partial reset in intra-DU.</w:t>
            </w:r>
          </w:p>
        </w:tc>
      </w:tr>
    </w:tbl>
    <w:p w14:paraId="1816440B" w14:textId="6E9463AD" w:rsidR="00FE68BC" w:rsidRDefault="00FE68BC" w:rsidP="003E16F6">
      <w:pPr>
        <w:widowControl/>
        <w:rPr>
          <w:rFonts w:ascii="Arial" w:eastAsia="Arial Unicode MS" w:hAnsi="Arial"/>
          <w:kern w:val="0"/>
          <w:sz w:val="20"/>
          <w:szCs w:val="20"/>
        </w:rPr>
      </w:pPr>
    </w:p>
    <w:tbl>
      <w:tblPr>
        <w:tblStyle w:val="a8"/>
        <w:tblW w:w="0" w:type="auto"/>
        <w:tblLook w:val="04A0" w:firstRow="1" w:lastRow="0" w:firstColumn="1" w:lastColumn="0" w:noHBand="0" w:noVBand="1"/>
      </w:tblPr>
      <w:tblGrid>
        <w:gridCol w:w="9629"/>
      </w:tblGrid>
      <w:tr w:rsidR="00EC2C77" w14:paraId="3B8D22A6" w14:textId="77777777" w:rsidTr="00EC2C77">
        <w:tc>
          <w:tcPr>
            <w:tcW w:w="9629" w:type="dxa"/>
          </w:tcPr>
          <w:p w14:paraId="3C8453BC" w14:textId="4301FD8C" w:rsidR="00EC2C77" w:rsidRPr="00EC2C77" w:rsidRDefault="00EC2C77" w:rsidP="003E16F6">
            <w:pPr>
              <w:pStyle w:val="Agreement"/>
            </w:pPr>
            <w:r w:rsidRPr="00EC2C77">
              <w:t>Permanent Identities such as PCI will not be used in L1 L2 signalling, instead L1 L2 signalling will use temporary identities configured by RRC.</w:t>
            </w:r>
          </w:p>
        </w:tc>
      </w:tr>
    </w:tbl>
    <w:p w14:paraId="4DC0E745" w14:textId="7C7532FB" w:rsidR="00751832" w:rsidRDefault="00751832" w:rsidP="003E16F6">
      <w:pPr>
        <w:widowControl/>
        <w:rPr>
          <w:rFonts w:ascii="Arial" w:eastAsia="Arial Unicode MS" w:hAnsi="Arial"/>
          <w:kern w:val="0"/>
          <w:sz w:val="20"/>
          <w:szCs w:val="20"/>
        </w:rPr>
      </w:pPr>
    </w:p>
    <w:p w14:paraId="3731BD1F" w14:textId="22C75E25" w:rsidR="00751832" w:rsidRPr="00751832" w:rsidRDefault="00C535BB"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n this contribution, we discuss further details on cell switch procedure including the remaining issues from previous meetings.</w:t>
      </w:r>
    </w:p>
    <w:p w14:paraId="7D796C85"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6452F77" w14:textId="416494AE"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0D5B74">
        <w:rPr>
          <w:rFonts w:ascii="Arial" w:hAnsi="Arial"/>
          <w:kern w:val="0"/>
          <w:sz w:val="28"/>
          <w:szCs w:val="20"/>
        </w:rPr>
        <w:t>Overview of c</w:t>
      </w:r>
      <w:r w:rsidR="00A50D72">
        <w:rPr>
          <w:rFonts w:ascii="Arial" w:hAnsi="Arial"/>
          <w:kern w:val="0"/>
          <w:sz w:val="28"/>
          <w:szCs w:val="20"/>
        </w:rPr>
        <w:t>ell switch</w:t>
      </w:r>
    </w:p>
    <w:p w14:paraId="173AB988" w14:textId="0993ED0C" w:rsidR="003E16F6" w:rsidRPr="002C6C08" w:rsidRDefault="00A50D72" w:rsidP="003E16F6">
      <w:pPr>
        <w:widowControl/>
        <w:spacing w:after="120" w:line="240" w:lineRule="atLeast"/>
        <w:rPr>
          <w:rFonts w:ascii="Arial" w:hAnsi="Arial"/>
          <w:kern w:val="0"/>
          <w:sz w:val="20"/>
          <w:szCs w:val="20"/>
        </w:rPr>
      </w:pPr>
      <w:r>
        <w:rPr>
          <w:rFonts w:ascii="Arial" w:hAnsi="Arial"/>
          <w:kern w:val="0"/>
          <w:sz w:val="20"/>
          <w:szCs w:val="20"/>
        </w:rPr>
        <w:t>In RAN2#119bis-e, it was agreed that “</w:t>
      </w:r>
      <w:r w:rsidR="00CB71F0">
        <w:rPr>
          <w:rFonts w:ascii="Arial" w:hAnsi="Arial"/>
          <w:kern w:val="0"/>
          <w:sz w:val="20"/>
          <w:szCs w:val="20"/>
        </w:rPr>
        <w:t>A</w:t>
      </w:r>
      <w:r w:rsidRPr="00A50D72">
        <w:rPr>
          <w:rFonts w:ascii="Arial" w:hAnsi="Arial"/>
          <w:kern w:val="0"/>
          <w:sz w:val="20"/>
          <w:szCs w:val="20"/>
        </w:rPr>
        <w:t xml:space="preserve"> L1/L2 inter-cell mobility candidate (target) configuration is received within an RRC message before the L1/L2 dynamic switch is triggered</w:t>
      </w:r>
      <w:r>
        <w:rPr>
          <w:rFonts w:ascii="Arial" w:hAnsi="Arial"/>
          <w:kern w:val="0"/>
          <w:sz w:val="20"/>
          <w:szCs w:val="20"/>
        </w:rPr>
        <w:t>” and “</w:t>
      </w:r>
      <w:r w:rsidRPr="00A50D72">
        <w:rPr>
          <w:rFonts w:ascii="Arial" w:hAnsi="Arial"/>
          <w:kern w:val="0"/>
          <w:sz w:val="20"/>
          <w:szCs w:val="20"/>
        </w:rPr>
        <w:t>RAN2 assumes L1/2 mobility trigger information is conveyed in a MAC CE</w:t>
      </w:r>
      <w:r>
        <w:rPr>
          <w:rFonts w:ascii="Arial" w:hAnsi="Arial"/>
          <w:kern w:val="0"/>
          <w:sz w:val="20"/>
          <w:szCs w:val="20"/>
        </w:rPr>
        <w:t>”</w:t>
      </w:r>
      <w:r w:rsidRPr="00A50D72">
        <w:rPr>
          <w:rFonts w:ascii="Arial" w:hAnsi="Arial"/>
          <w:kern w:val="0"/>
          <w:sz w:val="20"/>
          <w:szCs w:val="20"/>
        </w:rPr>
        <w:t>.</w:t>
      </w:r>
      <w:r>
        <w:rPr>
          <w:rFonts w:ascii="Arial" w:hAnsi="Arial"/>
          <w:kern w:val="0"/>
          <w:sz w:val="20"/>
          <w:szCs w:val="20"/>
        </w:rPr>
        <w:t xml:space="preserve"> Then, in RAN2#120, it was further agreed that “</w:t>
      </w:r>
      <w:r w:rsidR="00CB71F0">
        <w:rPr>
          <w:rFonts w:ascii="Arial" w:hAnsi="Arial"/>
          <w:kern w:val="0"/>
          <w:sz w:val="20"/>
          <w:szCs w:val="20"/>
        </w:rPr>
        <w:t>T</w:t>
      </w:r>
      <w:r w:rsidRPr="00A50D72">
        <w:rPr>
          <w:rFonts w:ascii="Arial" w:hAnsi="Arial"/>
          <w:kern w:val="0"/>
          <w:sz w:val="20"/>
          <w:szCs w:val="20"/>
        </w:rPr>
        <w:t>he MAC CE agreed to carry LTM related information for cell switch is used for LTM triggering of the cell switch</w:t>
      </w:r>
      <w:r>
        <w:rPr>
          <w:rFonts w:ascii="Arial" w:hAnsi="Arial"/>
          <w:kern w:val="0"/>
          <w:sz w:val="20"/>
          <w:szCs w:val="20"/>
        </w:rPr>
        <w:t>”.</w:t>
      </w:r>
    </w:p>
    <w:p w14:paraId="42EC4CF4" w14:textId="44182288" w:rsidR="003E16F6" w:rsidRDefault="00CB71F0" w:rsidP="003E16F6">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uring the RRC modelling discussions, it was agreed that “T</w:t>
      </w:r>
      <w:r w:rsidRPr="00CB71F0">
        <w:rPr>
          <w:rFonts w:ascii="Arial" w:hAnsi="Arial"/>
          <w:kern w:val="0"/>
          <w:sz w:val="20"/>
          <w:szCs w:val="20"/>
        </w:rPr>
        <w:t>he LTM candidate cell configuration ASN.1 structure comprises at least a CellGroupConfig IE and a configuration ID</w:t>
      </w:r>
      <w:r>
        <w:rPr>
          <w:rFonts w:ascii="Arial" w:hAnsi="Arial"/>
          <w:kern w:val="0"/>
          <w:sz w:val="20"/>
          <w:szCs w:val="20"/>
        </w:rPr>
        <w:t>”</w:t>
      </w:r>
      <w:r w:rsidRPr="00CB71F0">
        <w:rPr>
          <w:rFonts w:ascii="Arial" w:hAnsi="Arial"/>
          <w:kern w:val="0"/>
          <w:sz w:val="20"/>
          <w:szCs w:val="20"/>
        </w:rPr>
        <w:t>.</w:t>
      </w:r>
      <w:r>
        <w:rPr>
          <w:rFonts w:ascii="Arial" w:hAnsi="Arial"/>
          <w:kern w:val="0"/>
          <w:sz w:val="20"/>
          <w:szCs w:val="20"/>
        </w:rPr>
        <w:t xml:space="preserve"> Together with the agreement on the cell switch that “</w:t>
      </w:r>
      <w:r w:rsidRPr="00CB71F0">
        <w:rPr>
          <w:rFonts w:ascii="Arial" w:hAnsi="Arial"/>
          <w:kern w:val="0"/>
          <w:sz w:val="20"/>
          <w:szCs w:val="20"/>
        </w:rPr>
        <w:t>instead L1 L2 signalling will use temporary identities configured by RRC</w:t>
      </w:r>
      <w:r>
        <w:rPr>
          <w:rFonts w:ascii="Arial" w:hAnsi="Arial"/>
          <w:kern w:val="0"/>
          <w:sz w:val="20"/>
          <w:szCs w:val="20"/>
        </w:rPr>
        <w:t>”, we consider the configuration ID is to be used in the MAC CE to trigger the LTM.</w:t>
      </w:r>
    </w:p>
    <w:p w14:paraId="10A78AF5" w14:textId="10C5901E" w:rsidR="007867B4" w:rsidRPr="002C6C08" w:rsidRDefault="007867B4" w:rsidP="007867B4">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RAN2 to confirm that </w:t>
      </w:r>
      <w:r w:rsidRPr="007867B4">
        <w:rPr>
          <w:rFonts w:ascii="Arial" w:hAnsi="Arial"/>
          <w:b/>
          <w:kern w:val="0"/>
          <w:sz w:val="20"/>
          <w:szCs w:val="20"/>
        </w:rPr>
        <w:t>MAC CE triggering the LTM carries information for cell switch including the configuration ID indicating the target cell, which is pre-configured by RRC within the candidate (target) configuration.</w:t>
      </w:r>
    </w:p>
    <w:p w14:paraId="751B4CCD" w14:textId="4DD730EF" w:rsidR="00D86088" w:rsidRPr="007867B4" w:rsidRDefault="00D86088" w:rsidP="003E16F6">
      <w:pPr>
        <w:widowControl/>
        <w:spacing w:after="120" w:line="240" w:lineRule="atLeast"/>
        <w:rPr>
          <w:rFonts w:ascii="Arial" w:hAnsi="Arial"/>
          <w:kern w:val="0"/>
          <w:sz w:val="20"/>
          <w:szCs w:val="20"/>
        </w:rPr>
      </w:pPr>
    </w:p>
    <w:p w14:paraId="227D9871" w14:textId="77777777" w:rsidR="00821630" w:rsidRDefault="004642B5" w:rsidP="003E16F6">
      <w:pPr>
        <w:widowControl/>
        <w:spacing w:after="120" w:line="240" w:lineRule="atLeast"/>
        <w:rPr>
          <w:rFonts w:ascii="Arial" w:hAnsi="Arial"/>
          <w:kern w:val="0"/>
          <w:sz w:val="20"/>
          <w:szCs w:val="20"/>
        </w:rPr>
      </w:pPr>
      <w:r>
        <w:rPr>
          <w:rFonts w:ascii="Arial" w:hAnsi="Arial"/>
          <w:kern w:val="0"/>
          <w:sz w:val="20"/>
          <w:szCs w:val="20"/>
        </w:rPr>
        <w:t>We discuss further details of cell switch procedure.</w:t>
      </w:r>
    </w:p>
    <w:p w14:paraId="1091810C" w14:textId="28C5BF55" w:rsidR="00821630" w:rsidRDefault="00821630" w:rsidP="00821630">
      <w:pPr>
        <w:pStyle w:val="a9"/>
        <w:widowControl/>
        <w:numPr>
          <w:ilvl w:val="0"/>
          <w:numId w:val="2"/>
        </w:numPr>
        <w:spacing w:after="120" w:line="240" w:lineRule="atLeast"/>
        <w:ind w:leftChars="0"/>
        <w:rPr>
          <w:rFonts w:ascii="Arial" w:hAnsi="Arial"/>
          <w:kern w:val="0"/>
          <w:sz w:val="20"/>
          <w:szCs w:val="20"/>
          <w:u w:val="single"/>
        </w:rPr>
      </w:pPr>
      <w:r w:rsidRPr="00821630">
        <w:rPr>
          <w:rFonts w:ascii="Arial" w:hAnsi="Arial"/>
          <w:kern w:val="0"/>
          <w:sz w:val="20"/>
          <w:szCs w:val="20"/>
          <w:u w:val="single"/>
        </w:rPr>
        <w:t>Supervised timer</w:t>
      </w:r>
    </w:p>
    <w:p w14:paraId="537D2108" w14:textId="15553D60" w:rsidR="004642B5" w:rsidRDefault="004642B5" w:rsidP="003E16F6">
      <w:pPr>
        <w:widowControl/>
        <w:spacing w:after="120" w:line="240" w:lineRule="atLeast"/>
        <w:rPr>
          <w:rFonts w:ascii="Arial" w:hAnsi="Arial"/>
          <w:kern w:val="0"/>
          <w:sz w:val="20"/>
          <w:szCs w:val="20"/>
        </w:rPr>
      </w:pPr>
      <w:r>
        <w:rPr>
          <w:rFonts w:ascii="Arial" w:hAnsi="Arial"/>
          <w:kern w:val="0"/>
          <w:sz w:val="20"/>
          <w:szCs w:val="20"/>
        </w:rPr>
        <w:t>In RAN2#120, it was agreed that “</w:t>
      </w:r>
      <w:r w:rsidRPr="004642B5">
        <w:rPr>
          <w:rFonts w:ascii="Arial" w:hAnsi="Arial"/>
          <w:kern w:val="0"/>
          <w:sz w:val="20"/>
          <w:szCs w:val="20"/>
        </w:rPr>
        <w:t>LTM cell switch is supervised by a timer</w:t>
      </w:r>
      <w:r>
        <w:rPr>
          <w:rFonts w:ascii="Arial" w:hAnsi="Arial"/>
          <w:kern w:val="0"/>
          <w:sz w:val="20"/>
          <w:szCs w:val="20"/>
        </w:rPr>
        <w:t>”. Considering that the LTM is L1/L2-based mobility, there may be a possibility to introduce a new MAC timer. However, the MAC reset will be necessary at least in some cases</w:t>
      </w:r>
      <w:r w:rsidR="005407F5">
        <w:rPr>
          <w:rFonts w:ascii="Arial" w:hAnsi="Arial"/>
          <w:kern w:val="0"/>
          <w:sz w:val="20"/>
          <w:szCs w:val="20"/>
        </w:rPr>
        <w:t xml:space="preserve"> (e.g. inter-DU)</w:t>
      </w:r>
      <w:r>
        <w:rPr>
          <w:rFonts w:ascii="Arial" w:hAnsi="Arial"/>
          <w:kern w:val="0"/>
          <w:sz w:val="20"/>
          <w:szCs w:val="20"/>
        </w:rPr>
        <w:t xml:space="preserve">, so an RRC timer is more appropriate. A question is whether </w:t>
      </w:r>
      <w:r>
        <w:rPr>
          <w:rFonts w:ascii="Arial" w:hAnsi="Arial"/>
          <w:kern w:val="0"/>
          <w:sz w:val="20"/>
          <w:szCs w:val="20"/>
        </w:rPr>
        <w:lastRenderedPageBreak/>
        <w:t xml:space="preserve">the legacy timer (e.g. T304) is reused or not. </w:t>
      </w:r>
      <w:r w:rsidR="00944D1C">
        <w:rPr>
          <w:rFonts w:ascii="Arial" w:hAnsi="Arial"/>
          <w:kern w:val="0"/>
          <w:sz w:val="20"/>
          <w:szCs w:val="20"/>
        </w:rPr>
        <w:t>Even though the T304 can be applied with a certain modification of start/stop conditions in RRC spec, the LTM is different procedure from the legacy mobility</w:t>
      </w:r>
      <w:r w:rsidR="005407F5">
        <w:rPr>
          <w:rFonts w:ascii="Arial" w:hAnsi="Arial"/>
          <w:kern w:val="0"/>
          <w:sz w:val="20"/>
          <w:szCs w:val="20"/>
        </w:rPr>
        <w:t>.</w:t>
      </w:r>
      <w:r w:rsidR="00944D1C">
        <w:rPr>
          <w:rFonts w:ascii="Arial" w:hAnsi="Arial"/>
          <w:kern w:val="0"/>
          <w:sz w:val="20"/>
          <w:szCs w:val="20"/>
        </w:rPr>
        <w:t xml:space="preserve"> </w:t>
      </w:r>
      <w:r w:rsidR="005407F5">
        <w:rPr>
          <w:rFonts w:ascii="Arial" w:hAnsi="Arial"/>
          <w:kern w:val="0"/>
          <w:sz w:val="20"/>
          <w:szCs w:val="20"/>
        </w:rPr>
        <w:t>T</w:t>
      </w:r>
      <w:r w:rsidR="00944D1C">
        <w:rPr>
          <w:rFonts w:ascii="Arial" w:hAnsi="Arial"/>
          <w:kern w:val="0"/>
          <w:sz w:val="20"/>
          <w:szCs w:val="20"/>
        </w:rPr>
        <w:t>hus a new RRC timer will be clear and suitable.</w:t>
      </w:r>
    </w:p>
    <w:p w14:paraId="4453DEB0" w14:textId="0DEC454C" w:rsidR="00F84209" w:rsidRPr="00F84209" w:rsidRDefault="00F84209" w:rsidP="003E16F6">
      <w:pPr>
        <w:widowControl/>
        <w:spacing w:after="120" w:line="240" w:lineRule="atLeast"/>
        <w:rPr>
          <w:rFonts w:ascii="Arial" w:hAnsi="Arial"/>
          <w:kern w:val="0"/>
          <w:sz w:val="20"/>
          <w:szCs w:val="20"/>
        </w:rPr>
      </w:pPr>
      <w:r>
        <w:rPr>
          <w:rFonts w:ascii="Arial" w:hAnsi="Arial"/>
          <w:kern w:val="0"/>
          <w:sz w:val="20"/>
          <w:szCs w:val="20"/>
        </w:rPr>
        <w:t xml:space="preserve">Given that the </w:t>
      </w:r>
      <w:r w:rsidRPr="00F84209">
        <w:rPr>
          <w:rFonts w:ascii="Arial" w:hAnsi="Arial"/>
          <w:kern w:val="0"/>
          <w:sz w:val="20"/>
          <w:szCs w:val="20"/>
        </w:rPr>
        <w:t xml:space="preserve">LTM cell switch is supervised by </w:t>
      </w:r>
      <w:r>
        <w:rPr>
          <w:rFonts w:ascii="Arial" w:hAnsi="Arial"/>
          <w:kern w:val="0"/>
          <w:sz w:val="20"/>
          <w:szCs w:val="20"/>
        </w:rPr>
        <w:t xml:space="preserve">the RRC timer, it should be confirmed that the MAC layer indicates to the RRC layer upon receiving the MAC CE triggering the LTM at the UE. In </w:t>
      </w:r>
      <w:r w:rsidR="00E1541C">
        <w:rPr>
          <w:rFonts w:ascii="Arial" w:hAnsi="Arial"/>
          <w:kern w:val="0"/>
          <w:sz w:val="20"/>
          <w:szCs w:val="20"/>
        </w:rPr>
        <w:t>other words</w:t>
      </w:r>
      <w:r>
        <w:rPr>
          <w:rFonts w:ascii="Arial" w:hAnsi="Arial"/>
          <w:kern w:val="0"/>
          <w:sz w:val="20"/>
          <w:szCs w:val="20"/>
        </w:rPr>
        <w:t xml:space="preserve">, the start timing of the </w:t>
      </w:r>
      <w:r w:rsidR="00355251">
        <w:rPr>
          <w:rFonts w:ascii="Arial" w:hAnsi="Arial"/>
          <w:kern w:val="0"/>
          <w:sz w:val="20"/>
          <w:szCs w:val="20"/>
        </w:rPr>
        <w:t xml:space="preserve">new </w:t>
      </w:r>
      <w:r>
        <w:rPr>
          <w:rFonts w:ascii="Arial" w:hAnsi="Arial"/>
          <w:kern w:val="0"/>
          <w:sz w:val="20"/>
          <w:szCs w:val="20"/>
        </w:rPr>
        <w:t>RRC timer is the indication from the MAC layer.</w:t>
      </w:r>
    </w:p>
    <w:p w14:paraId="571B7DBF" w14:textId="23F49E5B" w:rsidR="00944D1C" w:rsidRPr="002C6C08" w:rsidRDefault="00944D1C" w:rsidP="00944D1C">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assume a new RRC timer supervise the LTM cell switch.</w:t>
      </w:r>
    </w:p>
    <w:p w14:paraId="4C1A2BB3" w14:textId="44202D5E" w:rsidR="00F84209" w:rsidRPr="002C6C08" w:rsidRDefault="00F84209" w:rsidP="00F8420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sidRPr="002C6C08">
        <w:rPr>
          <w:rFonts w:ascii="Arial" w:hAnsi="Arial" w:hint="eastAsia"/>
          <w:b/>
          <w:kern w:val="0"/>
          <w:sz w:val="20"/>
          <w:szCs w:val="20"/>
        </w:rPr>
        <w:t xml:space="preserve">: </w:t>
      </w:r>
      <w:r>
        <w:rPr>
          <w:rFonts w:ascii="Arial" w:hAnsi="Arial"/>
          <w:b/>
          <w:kern w:val="0"/>
          <w:sz w:val="20"/>
          <w:szCs w:val="20"/>
        </w:rPr>
        <w:t>RAN2 to assume the new RRC timer for the LTM cell switch starts upon receiving the indication from the MAC layer.</w:t>
      </w:r>
    </w:p>
    <w:p w14:paraId="150809F4" w14:textId="77777777" w:rsidR="004642B5" w:rsidRPr="00F84209" w:rsidRDefault="004642B5" w:rsidP="003E16F6">
      <w:pPr>
        <w:widowControl/>
        <w:spacing w:after="120" w:line="240" w:lineRule="atLeast"/>
        <w:rPr>
          <w:rFonts w:ascii="Arial" w:hAnsi="Arial"/>
          <w:kern w:val="0"/>
          <w:sz w:val="20"/>
          <w:szCs w:val="20"/>
        </w:rPr>
      </w:pPr>
    </w:p>
    <w:p w14:paraId="661F442B" w14:textId="77777777" w:rsidR="00BB5CBB" w:rsidRPr="00821630" w:rsidRDefault="00BB5CBB" w:rsidP="00BB5CBB">
      <w:pPr>
        <w:pStyle w:val="a9"/>
        <w:widowControl/>
        <w:numPr>
          <w:ilvl w:val="0"/>
          <w:numId w:val="2"/>
        </w:numPr>
        <w:spacing w:after="120" w:line="240" w:lineRule="atLeast"/>
        <w:ind w:leftChars="0"/>
        <w:rPr>
          <w:rFonts w:ascii="Arial" w:hAnsi="Arial"/>
          <w:kern w:val="0"/>
          <w:sz w:val="20"/>
          <w:szCs w:val="20"/>
          <w:u w:val="single"/>
        </w:rPr>
      </w:pPr>
      <w:r>
        <w:rPr>
          <w:rFonts w:ascii="Arial" w:hAnsi="Arial"/>
          <w:kern w:val="0"/>
          <w:sz w:val="20"/>
          <w:szCs w:val="20"/>
          <w:u w:val="single"/>
        </w:rPr>
        <w:t>UE arrival indication</w:t>
      </w:r>
    </w:p>
    <w:p w14:paraId="59ED255A" w14:textId="2C6A1781" w:rsidR="00B127BC" w:rsidRDefault="005C1D99"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RAN#120, it was also agreed that “</w:t>
      </w:r>
      <w:r w:rsidRPr="005C1D99">
        <w:rPr>
          <w:rFonts w:ascii="Arial" w:hAnsi="Arial"/>
          <w:kern w:val="0"/>
          <w:sz w:val="20"/>
          <w:szCs w:val="20"/>
        </w:rPr>
        <w:t>UE arrival in the target cell need to be indicated</w:t>
      </w:r>
      <w:r>
        <w:rPr>
          <w:rFonts w:ascii="Arial" w:hAnsi="Arial"/>
          <w:kern w:val="0"/>
          <w:sz w:val="20"/>
          <w:szCs w:val="20"/>
        </w:rPr>
        <w:t>”, while it is FFS how it is done.</w:t>
      </w:r>
      <w:r w:rsidR="009877FD">
        <w:rPr>
          <w:rFonts w:ascii="Arial" w:hAnsi="Arial"/>
          <w:kern w:val="0"/>
          <w:sz w:val="20"/>
          <w:szCs w:val="20"/>
        </w:rPr>
        <w:t xml:space="preserve"> We assume that the LTM completion can be detected via L2 signalling</w:t>
      </w:r>
      <w:r w:rsidR="000D3660">
        <w:rPr>
          <w:rFonts w:ascii="Arial" w:hAnsi="Arial"/>
          <w:kern w:val="0"/>
          <w:sz w:val="20"/>
          <w:szCs w:val="20"/>
        </w:rPr>
        <w:t xml:space="preserve"> </w:t>
      </w:r>
      <w:r w:rsidR="00954CAF">
        <w:rPr>
          <w:rFonts w:ascii="Arial" w:hAnsi="Arial"/>
          <w:kern w:val="0"/>
          <w:sz w:val="20"/>
          <w:szCs w:val="20"/>
        </w:rPr>
        <w:t>(i.e. MAC CE) during or after the random access procedure</w:t>
      </w:r>
      <w:r w:rsidR="00BE6BC6">
        <w:rPr>
          <w:rFonts w:ascii="Arial" w:hAnsi="Arial"/>
          <w:kern w:val="0"/>
          <w:sz w:val="20"/>
          <w:szCs w:val="20"/>
        </w:rPr>
        <w:t>.  On the other hand,</w:t>
      </w:r>
      <w:r w:rsidR="009877FD">
        <w:rPr>
          <w:rFonts w:ascii="Arial" w:hAnsi="Arial"/>
          <w:kern w:val="0"/>
          <w:sz w:val="20"/>
          <w:szCs w:val="20"/>
        </w:rPr>
        <w:t xml:space="preserve"> the RRC reconfiguration is performed even during the LTM, although the timing and the trigger </w:t>
      </w:r>
      <w:r w:rsidR="007A7C51">
        <w:rPr>
          <w:rFonts w:ascii="Arial" w:hAnsi="Arial"/>
          <w:kern w:val="0"/>
          <w:sz w:val="20"/>
          <w:szCs w:val="20"/>
        </w:rPr>
        <w:t>are</w:t>
      </w:r>
      <w:r w:rsidR="009877FD">
        <w:rPr>
          <w:rFonts w:ascii="Arial" w:hAnsi="Arial"/>
          <w:kern w:val="0"/>
          <w:sz w:val="20"/>
          <w:szCs w:val="20"/>
        </w:rPr>
        <w:t xml:space="preserve"> different from legacy mobility. </w:t>
      </w:r>
      <w:r w:rsidR="00711BF7">
        <w:rPr>
          <w:rFonts w:ascii="Arial" w:hAnsi="Arial"/>
          <w:kern w:val="0"/>
          <w:sz w:val="20"/>
          <w:szCs w:val="20"/>
        </w:rPr>
        <w:t>From this perspective</w:t>
      </w:r>
      <w:r w:rsidR="009877FD">
        <w:rPr>
          <w:rFonts w:ascii="Arial" w:hAnsi="Arial"/>
          <w:kern w:val="0"/>
          <w:sz w:val="20"/>
          <w:szCs w:val="20"/>
        </w:rPr>
        <w:t xml:space="preserve">, an RRC message </w:t>
      </w:r>
      <w:r w:rsidR="00BE6BC6">
        <w:rPr>
          <w:rFonts w:ascii="Arial" w:hAnsi="Arial"/>
          <w:kern w:val="0"/>
          <w:sz w:val="20"/>
          <w:szCs w:val="20"/>
        </w:rPr>
        <w:t xml:space="preserve">may </w:t>
      </w:r>
      <w:r w:rsidR="009877FD">
        <w:rPr>
          <w:rFonts w:ascii="Arial" w:hAnsi="Arial"/>
          <w:kern w:val="0"/>
          <w:sz w:val="20"/>
          <w:szCs w:val="20"/>
        </w:rPr>
        <w:t>be suitable</w:t>
      </w:r>
      <w:r w:rsidR="00954CAF">
        <w:rPr>
          <w:rFonts w:ascii="Arial" w:hAnsi="Arial"/>
          <w:kern w:val="0"/>
          <w:sz w:val="20"/>
          <w:szCs w:val="20"/>
        </w:rPr>
        <w:t xml:space="preserve"> to indicate the UE arrival</w:t>
      </w:r>
      <w:r w:rsidR="009877FD">
        <w:rPr>
          <w:rFonts w:ascii="Arial" w:hAnsi="Arial"/>
          <w:kern w:val="0"/>
          <w:sz w:val="20"/>
          <w:szCs w:val="20"/>
        </w:rPr>
        <w:t xml:space="preserve">. </w:t>
      </w:r>
      <w:r w:rsidR="00711BF7">
        <w:rPr>
          <w:rFonts w:ascii="Arial" w:hAnsi="Arial"/>
          <w:kern w:val="0"/>
          <w:sz w:val="20"/>
          <w:szCs w:val="20"/>
        </w:rPr>
        <w:t xml:space="preserve">Therefore, it would be good </w:t>
      </w:r>
      <w:r w:rsidR="00DD5717">
        <w:rPr>
          <w:rFonts w:ascii="Arial" w:hAnsi="Arial"/>
          <w:kern w:val="0"/>
          <w:sz w:val="20"/>
          <w:szCs w:val="20"/>
        </w:rPr>
        <w:t xml:space="preserve">for RAN2 </w:t>
      </w:r>
      <w:r w:rsidR="00711BF7">
        <w:rPr>
          <w:rFonts w:ascii="Arial" w:hAnsi="Arial"/>
          <w:kern w:val="0"/>
          <w:sz w:val="20"/>
          <w:szCs w:val="20"/>
        </w:rPr>
        <w:t xml:space="preserve">to </w:t>
      </w:r>
      <w:r w:rsidR="00DD5717">
        <w:rPr>
          <w:rFonts w:ascii="Arial" w:hAnsi="Arial"/>
          <w:kern w:val="0"/>
          <w:sz w:val="20"/>
          <w:szCs w:val="20"/>
        </w:rPr>
        <w:t xml:space="preserve">firstly </w:t>
      </w:r>
      <w:r w:rsidR="00711BF7">
        <w:rPr>
          <w:rFonts w:ascii="Arial" w:hAnsi="Arial"/>
          <w:kern w:val="0"/>
          <w:sz w:val="20"/>
          <w:szCs w:val="20"/>
        </w:rPr>
        <w:t>discuss whether an RRC message is necessary upon the LTM completion.</w:t>
      </w:r>
      <w:r w:rsidR="003609BB">
        <w:rPr>
          <w:rFonts w:ascii="Arial" w:hAnsi="Arial"/>
          <w:kern w:val="0"/>
          <w:sz w:val="20"/>
          <w:szCs w:val="20"/>
        </w:rPr>
        <w:t xml:space="preserve"> If necessary, the UE arrival indication is </w:t>
      </w:r>
      <w:r w:rsidR="00BA267A">
        <w:rPr>
          <w:rFonts w:ascii="Arial" w:hAnsi="Arial"/>
          <w:kern w:val="0"/>
          <w:sz w:val="20"/>
          <w:szCs w:val="20"/>
        </w:rPr>
        <w:t xml:space="preserve">an </w:t>
      </w:r>
      <w:r w:rsidR="003609BB">
        <w:rPr>
          <w:rFonts w:ascii="Arial" w:hAnsi="Arial"/>
          <w:kern w:val="0"/>
          <w:sz w:val="20"/>
          <w:szCs w:val="20"/>
        </w:rPr>
        <w:t>RRC message. Otherwise, it can be a MAC CE.</w:t>
      </w:r>
    </w:p>
    <w:p w14:paraId="06CB5ED7" w14:textId="03DB5ECD"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944D1C">
        <w:rPr>
          <w:rFonts w:ascii="Arial" w:hAnsi="Arial"/>
          <w:b/>
          <w:kern w:val="0"/>
          <w:sz w:val="20"/>
          <w:szCs w:val="20"/>
        </w:rPr>
        <w:t>3</w:t>
      </w:r>
      <w:r w:rsidRPr="002C6C08">
        <w:rPr>
          <w:rFonts w:ascii="Arial" w:hAnsi="Arial" w:hint="eastAsia"/>
          <w:b/>
          <w:kern w:val="0"/>
          <w:sz w:val="20"/>
          <w:szCs w:val="20"/>
        </w:rPr>
        <w:t xml:space="preserve">: </w:t>
      </w:r>
      <w:r w:rsidR="009877FD">
        <w:rPr>
          <w:rFonts w:ascii="Arial" w:hAnsi="Arial"/>
          <w:b/>
          <w:kern w:val="0"/>
          <w:sz w:val="20"/>
          <w:szCs w:val="20"/>
        </w:rPr>
        <w:t xml:space="preserve">RAN2 to </w:t>
      </w:r>
      <w:r w:rsidR="00711BF7">
        <w:rPr>
          <w:rFonts w:ascii="Arial" w:hAnsi="Arial"/>
          <w:b/>
          <w:kern w:val="0"/>
          <w:sz w:val="20"/>
          <w:szCs w:val="20"/>
        </w:rPr>
        <w:t>discuss whether</w:t>
      </w:r>
      <w:r w:rsidR="009877FD">
        <w:rPr>
          <w:rFonts w:ascii="Arial" w:hAnsi="Arial"/>
          <w:b/>
          <w:kern w:val="0"/>
          <w:sz w:val="20"/>
          <w:szCs w:val="20"/>
        </w:rPr>
        <w:t xml:space="preserve"> an RRC message is </w:t>
      </w:r>
      <w:r w:rsidR="00711BF7">
        <w:rPr>
          <w:rFonts w:ascii="Arial" w:hAnsi="Arial"/>
          <w:b/>
          <w:kern w:val="0"/>
          <w:sz w:val="20"/>
          <w:szCs w:val="20"/>
        </w:rPr>
        <w:t>necessary upon the LTM completion to the target cell</w:t>
      </w:r>
      <w:r w:rsidR="00C60104">
        <w:rPr>
          <w:rFonts w:ascii="Arial" w:hAnsi="Arial"/>
          <w:b/>
          <w:kern w:val="0"/>
          <w:sz w:val="20"/>
          <w:szCs w:val="20"/>
        </w:rPr>
        <w:t>, before discussing details of UE arrival indication</w:t>
      </w:r>
      <w:r w:rsidR="009877FD">
        <w:rPr>
          <w:rFonts w:ascii="Arial" w:hAnsi="Arial"/>
          <w:b/>
          <w:kern w:val="0"/>
          <w:sz w:val="20"/>
          <w:szCs w:val="20"/>
        </w:rPr>
        <w:t>.</w:t>
      </w:r>
    </w:p>
    <w:p w14:paraId="41FECC13" w14:textId="24B11C60" w:rsidR="003E16F6" w:rsidRPr="00C60104" w:rsidRDefault="003E16F6" w:rsidP="003E16F6">
      <w:pPr>
        <w:widowControl/>
        <w:spacing w:after="120" w:line="240" w:lineRule="atLeast"/>
        <w:rPr>
          <w:rFonts w:ascii="Arial" w:hAnsi="Arial"/>
          <w:kern w:val="0"/>
          <w:sz w:val="20"/>
          <w:szCs w:val="20"/>
        </w:rPr>
      </w:pPr>
    </w:p>
    <w:p w14:paraId="399A681E" w14:textId="1F774227" w:rsidR="00E54EA9" w:rsidRDefault="00E54EA9" w:rsidP="003E16F6">
      <w:pPr>
        <w:widowControl/>
        <w:spacing w:after="120" w:line="240" w:lineRule="atLeast"/>
        <w:rPr>
          <w:rFonts w:ascii="Arial" w:hAnsi="Arial"/>
          <w:kern w:val="0"/>
          <w:sz w:val="20"/>
          <w:szCs w:val="20"/>
        </w:rPr>
      </w:pPr>
      <w:r>
        <w:rPr>
          <w:rFonts w:ascii="Arial" w:hAnsi="Arial" w:hint="eastAsia"/>
          <w:kern w:val="0"/>
          <w:sz w:val="20"/>
          <w:szCs w:val="20"/>
        </w:rPr>
        <w:t>I</w:t>
      </w:r>
      <w:r>
        <w:rPr>
          <w:rFonts w:ascii="Arial" w:hAnsi="Arial"/>
          <w:kern w:val="0"/>
          <w:sz w:val="20"/>
          <w:szCs w:val="20"/>
        </w:rPr>
        <w:t>n the following, we discuss the remaining issues from RAN2#119bis-e.</w:t>
      </w:r>
    </w:p>
    <w:p w14:paraId="3D318BF0" w14:textId="77777777" w:rsidR="00E54EA9" w:rsidRDefault="00E54EA9" w:rsidP="003E16F6">
      <w:pPr>
        <w:widowControl/>
        <w:spacing w:after="120" w:line="240" w:lineRule="atLeast"/>
        <w:rPr>
          <w:rFonts w:ascii="Arial" w:hAnsi="Arial"/>
          <w:kern w:val="0"/>
          <w:sz w:val="20"/>
          <w:szCs w:val="20"/>
        </w:rPr>
      </w:pPr>
    </w:p>
    <w:p w14:paraId="6BF05416" w14:textId="77777777" w:rsidR="00E54EA9" w:rsidRPr="002C6C08" w:rsidRDefault="00E54EA9" w:rsidP="00E54EA9">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Pr>
          <w:rFonts w:ascii="Arial" w:hAnsi="Arial"/>
          <w:kern w:val="0"/>
          <w:sz w:val="28"/>
          <w:szCs w:val="20"/>
        </w:rPr>
        <w:t>SCell activation/deactivation</w:t>
      </w:r>
    </w:p>
    <w:p w14:paraId="5F2C6F75" w14:textId="7A93029E" w:rsidR="00EB75D2" w:rsidRDefault="00EB75D2" w:rsidP="00E54EA9">
      <w:pPr>
        <w:widowControl/>
        <w:spacing w:after="120" w:line="240" w:lineRule="atLeast"/>
        <w:rPr>
          <w:rFonts w:ascii="Arial" w:hAnsi="Arial"/>
          <w:kern w:val="0"/>
          <w:sz w:val="20"/>
          <w:szCs w:val="20"/>
        </w:rPr>
      </w:pPr>
      <w:r>
        <w:rPr>
          <w:rFonts w:ascii="Arial" w:hAnsi="Arial"/>
          <w:kern w:val="0"/>
          <w:sz w:val="20"/>
          <w:szCs w:val="20"/>
        </w:rPr>
        <w:t xml:space="preserve">In RAN2#119bis-e, there was </w:t>
      </w:r>
      <w:r w:rsidR="00E54EA9">
        <w:rPr>
          <w:rFonts w:ascii="Arial" w:hAnsi="Arial"/>
          <w:kern w:val="0"/>
          <w:sz w:val="20"/>
          <w:szCs w:val="20"/>
        </w:rPr>
        <w:t>FFS regarding the SCell activation/deactivation during the LTM.</w:t>
      </w:r>
    </w:p>
    <w:p w14:paraId="29D617F9" w14:textId="77777777" w:rsidR="00EB75D2" w:rsidRPr="00EB75D2" w:rsidRDefault="00EB75D2" w:rsidP="00222C40">
      <w:pPr>
        <w:pStyle w:val="Agreement"/>
        <w:tabs>
          <w:tab w:val="clear" w:pos="360"/>
          <w:tab w:val="num" w:pos="1619"/>
        </w:tabs>
        <w:spacing w:after="120"/>
        <w:ind w:leftChars="168" w:left="710" w:hanging="357"/>
        <w:jc w:val="both"/>
        <w:rPr>
          <w:sz w:val="18"/>
        </w:rPr>
      </w:pPr>
      <w:r w:rsidRPr="00D776FF">
        <w:rPr>
          <w:sz w:val="18"/>
          <w:highlight w:val="yellow"/>
        </w:rPr>
        <w:t>FFS</w:t>
      </w:r>
      <w:r w:rsidRPr="00EB75D2">
        <w:rPr>
          <w:sz w:val="18"/>
        </w:rPr>
        <w:t xml:space="preserve"> if it should be possible to perform SCell activation/deactivation (amongst SCells associated with the candidate configuration) simultaneously with L1 L2 mobility trigger MAC CE (if so, FFS how this is determined).</w:t>
      </w:r>
    </w:p>
    <w:p w14:paraId="7DD6C075" w14:textId="46BCBCFB" w:rsidR="00E54EA9" w:rsidRPr="002C6C08" w:rsidRDefault="00E54EA9" w:rsidP="00E54EA9">
      <w:pPr>
        <w:widowControl/>
        <w:spacing w:after="120" w:line="240" w:lineRule="atLeast"/>
        <w:rPr>
          <w:rFonts w:ascii="Arial" w:hAnsi="Arial"/>
          <w:kern w:val="0"/>
          <w:sz w:val="20"/>
          <w:szCs w:val="20"/>
        </w:rPr>
      </w:pPr>
      <w:r>
        <w:rPr>
          <w:rFonts w:ascii="Arial" w:hAnsi="Arial"/>
          <w:kern w:val="0"/>
          <w:sz w:val="20"/>
          <w:szCs w:val="20"/>
        </w:rPr>
        <w:t>The SCell(s) assumed here is among SCells associated with the candidate configuration. We understand that the main benefit of this point is to activate the SCell(s) directly.</w:t>
      </w:r>
    </w:p>
    <w:p w14:paraId="32A23B12" w14:textId="7D1476AB" w:rsidR="00E54EA9" w:rsidRPr="002C6C08" w:rsidRDefault="00E54EA9" w:rsidP="00E54EA9">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 xml:space="preserve">uring the discussions in the last meeting, it was pointed out that the SCell(s) activation/deactivation should be decided by the target cell. If the target cell is managed by another DU, it would not be appropriate for the source DU to trigger SCell(s) activation/deactivation during the LTM. On the other hand, if the target cell is also managed by the source DU, then it might be useful to do this. Thus, if RAN2 agrees to apply different approach for intra- and inter-DU cases, the SCell(s) activation/deactivation can be performed during only intra-DU LTM. Otherwise, it would be better not to </w:t>
      </w:r>
      <w:r w:rsidR="005B0419">
        <w:rPr>
          <w:rFonts w:ascii="Arial" w:hAnsi="Arial"/>
          <w:kern w:val="0"/>
          <w:sz w:val="20"/>
          <w:szCs w:val="20"/>
        </w:rPr>
        <w:t xml:space="preserve">support </w:t>
      </w:r>
      <w:r>
        <w:rPr>
          <w:rFonts w:ascii="Arial" w:hAnsi="Arial"/>
          <w:kern w:val="0"/>
          <w:sz w:val="20"/>
          <w:szCs w:val="20"/>
        </w:rPr>
        <w:t>that.</w:t>
      </w:r>
    </w:p>
    <w:p w14:paraId="14C0F10A" w14:textId="06AA48CE" w:rsidR="00E54EA9" w:rsidRDefault="00E54EA9" w:rsidP="00E54EA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 xml:space="preserve">RAN2 to discuss whether a different approach is to be applied for intra- and inter-DU cases with respect to SCell(s) activation/deactivation </w:t>
      </w:r>
      <w:r w:rsidRPr="00995099">
        <w:rPr>
          <w:rFonts w:ascii="Arial" w:hAnsi="Arial"/>
          <w:b/>
          <w:kern w:val="0"/>
          <w:sz w:val="20"/>
          <w:szCs w:val="20"/>
        </w:rPr>
        <w:t>(amongst SCells associated with the candidate configuration)</w:t>
      </w:r>
      <w:r>
        <w:rPr>
          <w:rFonts w:ascii="Arial" w:hAnsi="Arial"/>
          <w:b/>
          <w:kern w:val="0"/>
          <w:sz w:val="20"/>
          <w:szCs w:val="20"/>
        </w:rPr>
        <w:t>.</w:t>
      </w:r>
    </w:p>
    <w:p w14:paraId="48EBDBC2" w14:textId="1D67B5BE" w:rsidR="00E54EA9" w:rsidRDefault="00E54EA9" w:rsidP="00E54EA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4a</w:t>
      </w:r>
      <w:r>
        <w:rPr>
          <w:rFonts w:ascii="Arial" w:hAnsi="Arial" w:hint="eastAsia"/>
          <w:b/>
          <w:kern w:val="0"/>
          <w:sz w:val="20"/>
          <w:szCs w:val="20"/>
        </w:rPr>
        <w:t xml:space="preserve">: </w:t>
      </w:r>
      <w:r>
        <w:rPr>
          <w:rFonts w:ascii="Arial" w:hAnsi="Arial"/>
          <w:b/>
          <w:kern w:val="0"/>
          <w:sz w:val="20"/>
          <w:szCs w:val="20"/>
        </w:rPr>
        <w:t xml:space="preserve">If RAN2 agree to the different approach, SCell(s) activation/deactivation </w:t>
      </w:r>
      <w:r w:rsidRPr="00995099">
        <w:rPr>
          <w:rFonts w:ascii="Arial" w:hAnsi="Arial"/>
          <w:b/>
          <w:kern w:val="0"/>
          <w:sz w:val="20"/>
          <w:szCs w:val="20"/>
        </w:rPr>
        <w:t>(amongst SCells associated with the candidate configuration)</w:t>
      </w:r>
      <w:r>
        <w:rPr>
          <w:rFonts w:ascii="Arial" w:hAnsi="Arial"/>
          <w:b/>
          <w:kern w:val="0"/>
          <w:sz w:val="20"/>
          <w:szCs w:val="20"/>
        </w:rPr>
        <w:t xml:space="preserve"> can be performed during the LTM only for intra-DU case. Otherwise, SCell(s) activation/deactivation cannot be performed during the LTM.</w:t>
      </w:r>
    </w:p>
    <w:p w14:paraId="1B5A7420" w14:textId="77777777" w:rsidR="00E54EA9" w:rsidRPr="002C6C08" w:rsidRDefault="00E54EA9" w:rsidP="00E54EA9">
      <w:pPr>
        <w:widowControl/>
        <w:spacing w:after="120" w:line="240" w:lineRule="atLeast"/>
        <w:rPr>
          <w:rFonts w:ascii="Arial" w:hAnsi="Arial"/>
          <w:kern w:val="0"/>
          <w:sz w:val="20"/>
          <w:szCs w:val="20"/>
        </w:rPr>
      </w:pPr>
    </w:p>
    <w:p w14:paraId="7825B083" w14:textId="77777777" w:rsidR="00E54EA9" w:rsidRPr="002C6C08" w:rsidRDefault="00E54EA9" w:rsidP="00E54EA9">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3</w:t>
      </w:r>
      <w:r>
        <w:rPr>
          <w:rFonts w:ascii="Arial" w:hAnsi="Arial" w:hint="eastAsia"/>
          <w:kern w:val="0"/>
          <w:sz w:val="28"/>
          <w:szCs w:val="20"/>
        </w:rPr>
        <w:tab/>
      </w:r>
      <w:r>
        <w:rPr>
          <w:rFonts w:ascii="Arial" w:hAnsi="Arial"/>
          <w:kern w:val="0"/>
          <w:sz w:val="28"/>
          <w:szCs w:val="20"/>
        </w:rPr>
        <w:t>CFRA RACH resource</w:t>
      </w:r>
    </w:p>
    <w:p w14:paraId="7DC6E41B" w14:textId="77777777" w:rsidR="00222C40" w:rsidRDefault="00E54EA9" w:rsidP="00E54EA9">
      <w:pPr>
        <w:widowControl/>
        <w:spacing w:after="120" w:line="240" w:lineRule="atLeast"/>
        <w:rPr>
          <w:rFonts w:ascii="Arial" w:hAnsi="Arial"/>
          <w:kern w:val="0"/>
          <w:sz w:val="20"/>
          <w:szCs w:val="20"/>
        </w:rPr>
      </w:pPr>
      <w:r>
        <w:rPr>
          <w:rFonts w:ascii="Arial" w:hAnsi="Arial"/>
          <w:kern w:val="0"/>
          <w:sz w:val="20"/>
          <w:szCs w:val="20"/>
        </w:rPr>
        <w:t>One more FFS is a possibility of including RACH resource for CFRA in MAC CE.</w:t>
      </w:r>
    </w:p>
    <w:p w14:paraId="2BD1416C" w14:textId="0158B36C" w:rsidR="00222C40" w:rsidRPr="00222C40" w:rsidRDefault="00222C40" w:rsidP="00222C40">
      <w:pPr>
        <w:pStyle w:val="Agreement"/>
        <w:tabs>
          <w:tab w:val="clear" w:pos="360"/>
          <w:tab w:val="num" w:pos="1619"/>
        </w:tabs>
        <w:spacing w:after="120" w:line="240" w:lineRule="atLeast"/>
        <w:ind w:leftChars="168" w:left="710" w:hanging="357"/>
        <w:rPr>
          <w:szCs w:val="20"/>
        </w:rPr>
      </w:pPr>
      <w:r w:rsidRPr="00222C40">
        <w:rPr>
          <w:sz w:val="18"/>
          <w:szCs w:val="18"/>
        </w:rPr>
        <w:t>RAN2 assumes RACH resource for CFRA for L1 L2 dynamic switch may be provided in RRC configuration (</w:t>
      </w:r>
      <w:r w:rsidRPr="00D776FF">
        <w:rPr>
          <w:sz w:val="18"/>
          <w:szCs w:val="18"/>
          <w:highlight w:val="yellow"/>
        </w:rPr>
        <w:t>or potentially by MAC CE FFS</w:t>
      </w:r>
      <w:r w:rsidRPr="00222C40">
        <w:rPr>
          <w:sz w:val="18"/>
          <w:szCs w:val="18"/>
        </w:rPr>
        <w:t>).</w:t>
      </w:r>
    </w:p>
    <w:p w14:paraId="58F176F7" w14:textId="5FA8147A" w:rsidR="00E54EA9" w:rsidRPr="002C6C08" w:rsidRDefault="00E54EA9" w:rsidP="00E54EA9">
      <w:pPr>
        <w:widowControl/>
        <w:spacing w:after="120" w:line="240" w:lineRule="atLeast"/>
        <w:rPr>
          <w:rFonts w:ascii="Arial" w:hAnsi="Arial"/>
          <w:kern w:val="0"/>
          <w:sz w:val="20"/>
          <w:szCs w:val="20"/>
        </w:rPr>
      </w:pPr>
      <w:r>
        <w:rPr>
          <w:rFonts w:ascii="Arial" w:hAnsi="Arial"/>
          <w:kern w:val="0"/>
          <w:sz w:val="20"/>
          <w:szCs w:val="20"/>
        </w:rPr>
        <w:lastRenderedPageBreak/>
        <w:t xml:space="preserve">The potential benefit of this </w:t>
      </w:r>
      <w:r w:rsidR="002B7535">
        <w:rPr>
          <w:rFonts w:ascii="Arial" w:hAnsi="Arial" w:hint="eastAsia"/>
          <w:kern w:val="0"/>
          <w:sz w:val="20"/>
          <w:szCs w:val="20"/>
        </w:rPr>
        <w:t>FFS</w:t>
      </w:r>
      <w:r w:rsidR="002B7535">
        <w:rPr>
          <w:rFonts w:ascii="Arial" w:hAnsi="Arial"/>
          <w:kern w:val="0"/>
          <w:sz w:val="20"/>
          <w:szCs w:val="20"/>
        </w:rPr>
        <w:t xml:space="preserve"> </w:t>
      </w:r>
      <w:r>
        <w:rPr>
          <w:rFonts w:ascii="Arial" w:hAnsi="Arial"/>
          <w:kern w:val="0"/>
          <w:sz w:val="20"/>
          <w:szCs w:val="20"/>
        </w:rPr>
        <w:t>is to configure the CFRA resource more dynamically, e.g. right before the LTM triggering. However, similar to the SCell (de)activation above, this is valid only for intra-DU case. We do not think this flexibility is essential or necessary. The currently agreed assumption (i.e. provided in RRC configuration) is sufficient.</w:t>
      </w:r>
    </w:p>
    <w:p w14:paraId="426DD8CB" w14:textId="4C990066" w:rsidR="00E54EA9" w:rsidRDefault="00E54EA9" w:rsidP="00E54EA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w:t>
      </w:r>
      <w:r w:rsidRPr="00ED2A28">
        <w:rPr>
          <w:rFonts w:ascii="Arial" w:hAnsi="Arial"/>
          <w:b/>
          <w:kern w:val="0"/>
          <w:sz w:val="20"/>
          <w:szCs w:val="20"/>
        </w:rPr>
        <w:t xml:space="preserve">RAN2 </w:t>
      </w:r>
      <w:r>
        <w:rPr>
          <w:rFonts w:ascii="Arial" w:hAnsi="Arial"/>
          <w:b/>
          <w:kern w:val="0"/>
          <w:sz w:val="20"/>
          <w:szCs w:val="20"/>
        </w:rPr>
        <w:t xml:space="preserve">to confirm that </w:t>
      </w:r>
      <w:r w:rsidRPr="00ED2A28">
        <w:rPr>
          <w:rFonts w:ascii="Arial" w:hAnsi="Arial"/>
          <w:b/>
          <w:kern w:val="0"/>
          <w:sz w:val="20"/>
          <w:szCs w:val="20"/>
        </w:rPr>
        <w:t xml:space="preserve">RACH resource for CFRA for </w:t>
      </w:r>
      <w:r>
        <w:rPr>
          <w:rFonts w:ascii="Arial" w:hAnsi="Arial"/>
          <w:b/>
          <w:kern w:val="0"/>
          <w:sz w:val="20"/>
          <w:szCs w:val="20"/>
        </w:rPr>
        <w:t>cell</w:t>
      </w:r>
      <w:r w:rsidRPr="00ED2A28">
        <w:rPr>
          <w:rFonts w:ascii="Arial" w:hAnsi="Arial"/>
          <w:b/>
          <w:kern w:val="0"/>
          <w:sz w:val="20"/>
          <w:szCs w:val="20"/>
        </w:rPr>
        <w:t xml:space="preserve"> switch </w:t>
      </w:r>
      <w:r>
        <w:rPr>
          <w:rFonts w:ascii="Arial" w:hAnsi="Arial"/>
          <w:b/>
          <w:kern w:val="0"/>
          <w:sz w:val="20"/>
          <w:szCs w:val="20"/>
        </w:rPr>
        <w:t>in LTM can</w:t>
      </w:r>
      <w:r w:rsidRPr="00ED2A28">
        <w:rPr>
          <w:rFonts w:ascii="Arial" w:hAnsi="Arial"/>
          <w:b/>
          <w:kern w:val="0"/>
          <w:sz w:val="20"/>
          <w:szCs w:val="20"/>
        </w:rPr>
        <w:t xml:space="preserve"> be provided in RRC configuration</w:t>
      </w:r>
      <w:r>
        <w:rPr>
          <w:rFonts w:ascii="Arial" w:hAnsi="Arial"/>
          <w:b/>
          <w:kern w:val="0"/>
          <w:sz w:val="20"/>
          <w:szCs w:val="20"/>
        </w:rPr>
        <w:t xml:space="preserve"> (not MAC CE).</w:t>
      </w:r>
    </w:p>
    <w:p w14:paraId="66E7DE2D" w14:textId="77777777" w:rsidR="003E16F6" w:rsidRPr="002C6C08" w:rsidRDefault="003E16F6" w:rsidP="003E16F6">
      <w:pPr>
        <w:widowControl/>
        <w:spacing w:after="120" w:line="240" w:lineRule="atLeast"/>
        <w:rPr>
          <w:rFonts w:ascii="Arial" w:hAnsi="Arial"/>
          <w:kern w:val="0"/>
          <w:sz w:val="20"/>
          <w:szCs w:val="20"/>
        </w:rPr>
      </w:pPr>
    </w:p>
    <w:p w14:paraId="6843460D"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77E35B87" w14:textId="11D0892F"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D1073E">
        <w:rPr>
          <w:rFonts w:ascii="Arial" w:eastAsia="Arial Unicode MS" w:hAnsi="Arial"/>
          <w:kern w:val="0"/>
          <w:sz w:val="20"/>
          <w:szCs w:val="20"/>
        </w:rPr>
        <w:t>further details on cell switch procedure and made the following proposals</w:t>
      </w:r>
      <w:r w:rsidRPr="002C6C08">
        <w:rPr>
          <w:rFonts w:ascii="Arial" w:eastAsia="Arial Unicode MS" w:hAnsi="Arial" w:hint="eastAsia"/>
          <w:kern w:val="0"/>
          <w:sz w:val="20"/>
          <w:szCs w:val="20"/>
        </w:rPr>
        <w:t>.</w:t>
      </w:r>
    </w:p>
    <w:p w14:paraId="43EFD7FA" w14:textId="0EB1CCEA" w:rsidR="003E16F6" w:rsidRPr="002C6C08" w:rsidRDefault="003E16F6" w:rsidP="003E16F6">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 </w:t>
      </w:r>
    </w:p>
    <w:p w14:paraId="4CBA499F" w14:textId="77777777" w:rsidR="00945217" w:rsidRPr="002C6C08" w:rsidRDefault="00945217" w:rsidP="0094521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Pr>
          <w:rFonts w:ascii="Arial" w:hAnsi="Arial"/>
          <w:b/>
          <w:kern w:val="0"/>
          <w:sz w:val="20"/>
          <w:szCs w:val="20"/>
        </w:rPr>
        <w:t xml:space="preserve">RAN2 to confirm that </w:t>
      </w:r>
      <w:r w:rsidRPr="007867B4">
        <w:rPr>
          <w:rFonts w:ascii="Arial" w:hAnsi="Arial"/>
          <w:b/>
          <w:kern w:val="0"/>
          <w:sz w:val="20"/>
          <w:szCs w:val="20"/>
        </w:rPr>
        <w:t>MAC CE triggering the LTM carries information for cell switch including the configuration ID indicating the target cell, which is pre-configured by RRC within the candidate (target) configuration.</w:t>
      </w:r>
    </w:p>
    <w:p w14:paraId="00AD15F2" w14:textId="77777777" w:rsidR="00B24FFF" w:rsidRPr="002C6C08" w:rsidRDefault="00B24FFF" w:rsidP="00B24FF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Pr="002C6C08">
        <w:rPr>
          <w:rFonts w:ascii="Arial" w:hAnsi="Arial" w:hint="eastAsia"/>
          <w:b/>
          <w:kern w:val="0"/>
          <w:sz w:val="20"/>
          <w:szCs w:val="20"/>
        </w:rPr>
        <w:t xml:space="preserve">: </w:t>
      </w:r>
      <w:r>
        <w:rPr>
          <w:rFonts w:ascii="Arial" w:hAnsi="Arial"/>
          <w:b/>
          <w:kern w:val="0"/>
          <w:sz w:val="20"/>
          <w:szCs w:val="20"/>
        </w:rPr>
        <w:t>RAN2 to assume a new RRC timer supervise the LTM cell switch.</w:t>
      </w:r>
    </w:p>
    <w:p w14:paraId="0B2F9B17" w14:textId="77777777" w:rsidR="00B24FFF" w:rsidRPr="002C6C08" w:rsidRDefault="00B24FFF" w:rsidP="00B24FF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sidRPr="002C6C08">
        <w:rPr>
          <w:rFonts w:ascii="Arial" w:hAnsi="Arial" w:hint="eastAsia"/>
          <w:b/>
          <w:kern w:val="0"/>
          <w:sz w:val="20"/>
          <w:szCs w:val="20"/>
        </w:rPr>
        <w:t xml:space="preserve">: </w:t>
      </w:r>
      <w:r>
        <w:rPr>
          <w:rFonts w:ascii="Arial" w:hAnsi="Arial"/>
          <w:b/>
          <w:kern w:val="0"/>
          <w:sz w:val="20"/>
          <w:szCs w:val="20"/>
        </w:rPr>
        <w:t>RAN2 to assume the new RRC timer for the LTM cell switch starts upon receiving the indication from the MAC layer.</w:t>
      </w:r>
    </w:p>
    <w:p w14:paraId="633D795F" w14:textId="118D90B5" w:rsidR="003E16F6" w:rsidRPr="00B24FFF" w:rsidRDefault="00B24FFF" w:rsidP="00001BA7">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Pr="002C6C08">
        <w:rPr>
          <w:rFonts w:ascii="Arial" w:hAnsi="Arial" w:hint="eastAsia"/>
          <w:b/>
          <w:kern w:val="0"/>
          <w:sz w:val="20"/>
          <w:szCs w:val="20"/>
        </w:rPr>
        <w:t xml:space="preserve">: </w:t>
      </w:r>
      <w:r>
        <w:rPr>
          <w:rFonts w:ascii="Arial" w:hAnsi="Arial"/>
          <w:b/>
          <w:kern w:val="0"/>
          <w:sz w:val="20"/>
          <w:szCs w:val="20"/>
        </w:rPr>
        <w:t>RAN2 to discuss whether an RRC message is necessary upon the LTM completion to the target cell, before discussing the details of UE arrival indication.</w:t>
      </w:r>
    </w:p>
    <w:p w14:paraId="0009D90B" w14:textId="77777777" w:rsidR="00B24FFF" w:rsidRDefault="00B24FFF" w:rsidP="00B24FF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 xml:space="preserve">RAN2 to discuss whether a different approach is to be applied for intra- and inter-DU cases with respect to SCell(s) activation/deactivation </w:t>
      </w:r>
      <w:r w:rsidRPr="00995099">
        <w:rPr>
          <w:rFonts w:ascii="Arial" w:hAnsi="Arial"/>
          <w:b/>
          <w:kern w:val="0"/>
          <w:sz w:val="20"/>
          <w:szCs w:val="20"/>
        </w:rPr>
        <w:t>(amongst SCells associated with the candidate configuration)</w:t>
      </w:r>
      <w:r>
        <w:rPr>
          <w:rFonts w:ascii="Arial" w:hAnsi="Arial"/>
          <w:b/>
          <w:kern w:val="0"/>
          <w:sz w:val="20"/>
          <w:szCs w:val="20"/>
        </w:rPr>
        <w:t>.</w:t>
      </w:r>
    </w:p>
    <w:p w14:paraId="14D82BC7" w14:textId="77777777" w:rsidR="00B24FFF" w:rsidRDefault="00B24FFF" w:rsidP="00B24FF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4a</w:t>
      </w:r>
      <w:r>
        <w:rPr>
          <w:rFonts w:ascii="Arial" w:hAnsi="Arial" w:hint="eastAsia"/>
          <w:b/>
          <w:kern w:val="0"/>
          <w:sz w:val="20"/>
          <w:szCs w:val="20"/>
        </w:rPr>
        <w:t xml:space="preserve">: </w:t>
      </w:r>
      <w:r>
        <w:rPr>
          <w:rFonts w:ascii="Arial" w:hAnsi="Arial"/>
          <w:b/>
          <w:kern w:val="0"/>
          <w:sz w:val="20"/>
          <w:szCs w:val="20"/>
        </w:rPr>
        <w:t xml:space="preserve">If RAN2 agree to the different approach, SCell(s) activation/deactivation </w:t>
      </w:r>
      <w:r w:rsidRPr="00995099">
        <w:rPr>
          <w:rFonts w:ascii="Arial" w:hAnsi="Arial"/>
          <w:b/>
          <w:kern w:val="0"/>
          <w:sz w:val="20"/>
          <w:szCs w:val="20"/>
        </w:rPr>
        <w:t>(amongst SCells associated with the candidate configuration)</w:t>
      </w:r>
      <w:r>
        <w:rPr>
          <w:rFonts w:ascii="Arial" w:hAnsi="Arial"/>
          <w:b/>
          <w:kern w:val="0"/>
          <w:sz w:val="20"/>
          <w:szCs w:val="20"/>
        </w:rPr>
        <w:t xml:space="preserve"> can be performed during the LTM only for intra-DU case. Otherwise, SCell(s) activation/deactivation cannot be performed during the LTM.</w:t>
      </w:r>
    </w:p>
    <w:p w14:paraId="55408878" w14:textId="77777777" w:rsidR="00B24FFF" w:rsidRDefault="00B24FFF" w:rsidP="00B24FFF">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w:t>
      </w:r>
      <w:r w:rsidRPr="00ED2A28">
        <w:rPr>
          <w:rFonts w:ascii="Arial" w:hAnsi="Arial"/>
          <w:b/>
          <w:kern w:val="0"/>
          <w:sz w:val="20"/>
          <w:szCs w:val="20"/>
        </w:rPr>
        <w:t xml:space="preserve">RAN2 </w:t>
      </w:r>
      <w:r>
        <w:rPr>
          <w:rFonts w:ascii="Arial" w:hAnsi="Arial"/>
          <w:b/>
          <w:kern w:val="0"/>
          <w:sz w:val="20"/>
          <w:szCs w:val="20"/>
        </w:rPr>
        <w:t xml:space="preserve">to confirm that </w:t>
      </w:r>
      <w:r w:rsidRPr="00ED2A28">
        <w:rPr>
          <w:rFonts w:ascii="Arial" w:hAnsi="Arial"/>
          <w:b/>
          <w:kern w:val="0"/>
          <w:sz w:val="20"/>
          <w:szCs w:val="20"/>
        </w:rPr>
        <w:t xml:space="preserve">RACH resource for CFRA for </w:t>
      </w:r>
      <w:r>
        <w:rPr>
          <w:rFonts w:ascii="Arial" w:hAnsi="Arial"/>
          <w:b/>
          <w:kern w:val="0"/>
          <w:sz w:val="20"/>
          <w:szCs w:val="20"/>
        </w:rPr>
        <w:t>cell</w:t>
      </w:r>
      <w:r w:rsidRPr="00ED2A28">
        <w:rPr>
          <w:rFonts w:ascii="Arial" w:hAnsi="Arial"/>
          <w:b/>
          <w:kern w:val="0"/>
          <w:sz w:val="20"/>
          <w:szCs w:val="20"/>
        </w:rPr>
        <w:t xml:space="preserve"> switch </w:t>
      </w:r>
      <w:r>
        <w:rPr>
          <w:rFonts w:ascii="Arial" w:hAnsi="Arial"/>
          <w:b/>
          <w:kern w:val="0"/>
          <w:sz w:val="20"/>
          <w:szCs w:val="20"/>
        </w:rPr>
        <w:t>in LTM can</w:t>
      </w:r>
      <w:r w:rsidRPr="00ED2A28">
        <w:rPr>
          <w:rFonts w:ascii="Arial" w:hAnsi="Arial"/>
          <w:b/>
          <w:kern w:val="0"/>
          <w:sz w:val="20"/>
          <w:szCs w:val="20"/>
        </w:rPr>
        <w:t xml:space="preserve"> be provided in RRC configuration</w:t>
      </w:r>
      <w:r>
        <w:rPr>
          <w:rFonts w:ascii="Arial" w:hAnsi="Arial"/>
          <w:b/>
          <w:kern w:val="0"/>
          <w:sz w:val="20"/>
          <w:szCs w:val="20"/>
        </w:rPr>
        <w:t xml:space="preserve"> (not MAC CE).</w:t>
      </w:r>
    </w:p>
    <w:p w14:paraId="48660C66" w14:textId="77777777" w:rsidR="003E16F6" w:rsidRPr="00B24FFF" w:rsidRDefault="003E16F6" w:rsidP="003E16F6">
      <w:pPr>
        <w:widowControl/>
        <w:spacing w:afterLines="25" w:after="60" w:line="240" w:lineRule="atLeast"/>
        <w:rPr>
          <w:rFonts w:ascii="Arial" w:hAnsi="Arial"/>
          <w:b/>
          <w:kern w:val="0"/>
          <w:sz w:val="20"/>
          <w:szCs w:val="20"/>
        </w:rPr>
      </w:pPr>
    </w:p>
    <w:p w14:paraId="0DF68B8F"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4654B302" w14:textId="3FA7AB25" w:rsidR="003E16F6"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sidR="00B8512D">
        <w:rPr>
          <w:rFonts w:ascii="Arial" w:eastAsia="Arial Unicode MS" w:hAnsi="Arial"/>
          <w:kern w:val="0"/>
          <w:sz w:val="20"/>
          <w:szCs w:val="20"/>
        </w:rPr>
        <w:t>RAN2#119bis-e Chair notes</w:t>
      </w:r>
    </w:p>
    <w:p w14:paraId="0564E41A" w14:textId="40537B05" w:rsidR="00B8512D" w:rsidRDefault="00B8512D" w:rsidP="00B8512D">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w:t>
      </w:r>
      <w:r>
        <w:rPr>
          <w:rFonts w:ascii="Arial" w:eastAsia="Arial Unicode MS" w:hAnsi="Arial"/>
          <w:kern w:val="0"/>
          <w:sz w:val="20"/>
          <w:szCs w:val="20"/>
        </w:rPr>
        <w:t>2</w:t>
      </w:r>
      <w:r w:rsidRPr="002C6C08">
        <w:rPr>
          <w:rFonts w:ascii="Arial" w:eastAsia="Arial Unicode MS" w:hAnsi="Arial" w:hint="eastAsia"/>
          <w:kern w:val="0"/>
          <w:sz w:val="20"/>
          <w:szCs w:val="20"/>
        </w:rPr>
        <w:t xml:space="preserve">] </w:t>
      </w:r>
      <w:r>
        <w:rPr>
          <w:rFonts w:ascii="Arial" w:eastAsia="Arial Unicode MS" w:hAnsi="Arial"/>
          <w:kern w:val="0"/>
          <w:sz w:val="20"/>
          <w:szCs w:val="20"/>
        </w:rPr>
        <w:t>RAN2#120 Chair notes</w:t>
      </w:r>
    </w:p>
    <w:p w14:paraId="3A642733" w14:textId="77777777" w:rsidR="003E16F6" w:rsidRPr="002C6C08" w:rsidRDefault="003E16F6" w:rsidP="003E16F6">
      <w:pPr>
        <w:widowControl/>
        <w:spacing w:line="240" w:lineRule="atLeast"/>
        <w:rPr>
          <w:rFonts w:ascii="Arial" w:eastAsia="Arial Unicode MS" w:hAnsi="Arial"/>
          <w:kern w:val="0"/>
          <w:sz w:val="20"/>
          <w:szCs w:val="20"/>
        </w:rPr>
      </w:pPr>
    </w:p>
    <w:p w14:paraId="1F183E18"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13124" w14:textId="77777777" w:rsidR="008F47E6" w:rsidRDefault="008F47E6" w:rsidP="005F4664">
      <w:r>
        <w:separator/>
      </w:r>
    </w:p>
  </w:endnote>
  <w:endnote w:type="continuationSeparator" w:id="0">
    <w:p w14:paraId="650C410F" w14:textId="77777777" w:rsidR="008F47E6" w:rsidRDefault="008F47E6"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92508" w14:textId="77777777" w:rsidR="008F47E6" w:rsidRDefault="008F47E6" w:rsidP="005F4664">
      <w:r>
        <w:separator/>
      </w:r>
    </w:p>
  </w:footnote>
  <w:footnote w:type="continuationSeparator" w:id="0">
    <w:p w14:paraId="2706D1AC" w14:textId="77777777" w:rsidR="008F47E6" w:rsidRDefault="008F47E6"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D653A4"/>
    <w:multiLevelType w:val="hybridMultilevel"/>
    <w:tmpl w:val="E74A9B00"/>
    <w:lvl w:ilvl="0" w:tplc="2D0A2E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BA7"/>
    <w:rsid w:val="00020412"/>
    <w:rsid w:val="00046D8D"/>
    <w:rsid w:val="000827DE"/>
    <w:rsid w:val="000A024E"/>
    <w:rsid w:val="000C4A4F"/>
    <w:rsid w:val="000D3660"/>
    <w:rsid w:val="000D5B74"/>
    <w:rsid w:val="001310F8"/>
    <w:rsid w:val="00132259"/>
    <w:rsid w:val="001504D8"/>
    <w:rsid w:val="001679AD"/>
    <w:rsid w:val="001C1521"/>
    <w:rsid w:val="001D6661"/>
    <w:rsid w:val="00222C40"/>
    <w:rsid w:val="00252A00"/>
    <w:rsid w:val="00267725"/>
    <w:rsid w:val="0028555E"/>
    <w:rsid w:val="00297E8B"/>
    <w:rsid w:val="002A7B1A"/>
    <w:rsid w:val="002B7535"/>
    <w:rsid w:val="002E27CB"/>
    <w:rsid w:val="002E4305"/>
    <w:rsid w:val="00324143"/>
    <w:rsid w:val="00346656"/>
    <w:rsid w:val="00355251"/>
    <w:rsid w:val="003609BB"/>
    <w:rsid w:val="00391CBE"/>
    <w:rsid w:val="003C391C"/>
    <w:rsid w:val="003E16F6"/>
    <w:rsid w:val="004623F9"/>
    <w:rsid w:val="004642B5"/>
    <w:rsid w:val="00485574"/>
    <w:rsid w:val="004A720E"/>
    <w:rsid w:val="004C55F8"/>
    <w:rsid w:val="004D0B78"/>
    <w:rsid w:val="004F0F43"/>
    <w:rsid w:val="004F6BB1"/>
    <w:rsid w:val="0050025E"/>
    <w:rsid w:val="005212F2"/>
    <w:rsid w:val="005407F5"/>
    <w:rsid w:val="00542E5C"/>
    <w:rsid w:val="0055062D"/>
    <w:rsid w:val="005B0419"/>
    <w:rsid w:val="005C1D99"/>
    <w:rsid w:val="005E77E7"/>
    <w:rsid w:val="005F4664"/>
    <w:rsid w:val="006010B7"/>
    <w:rsid w:val="00603C03"/>
    <w:rsid w:val="006736E7"/>
    <w:rsid w:val="0069741B"/>
    <w:rsid w:val="00697F60"/>
    <w:rsid w:val="006B2E48"/>
    <w:rsid w:val="006F1C23"/>
    <w:rsid w:val="007071C4"/>
    <w:rsid w:val="00711BF7"/>
    <w:rsid w:val="00717247"/>
    <w:rsid w:val="00751832"/>
    <w:rsid w:val="007867B4"/>
    <w:rsid w:val="00792ECF"/>
    <w:rsid w:val="007A7144"/>
    <w:rsid w:val="007A7C51"/>
    <w:rsid w:val="007C0139"/>
    <w:rsid w:val="007C42C0"/>
    <w:rsid w:val="00821630"/>
    <w:rsid w:val="008A53A6"/>
    <w:rsid w:val="008D00F5"/>
    <w:rsid w:val="008D7675"/>
    <w:rsid w:val="008F47E6"/>
    <w:rsid w:val="0091654C"/>
    <w:rsid w:val="00917760"/>
    <w:rsid w:val="00923DBA"/>
    <w:rsid w:val="00944D1C"/>
    <w:rsid w:val="00945217"/>
    <w:rsid w:val="00954CAF"/>
    <w:rsid w:val="009668AF"/>
    <w:rsid w:val="009877FD"/>
    <w:rsid w:val="009A1470"/>
    <w:rsid w:val="009A406E"/>
    <w:rsid w:val="009A4B61"/>
    <w:rsid w:val="009A6D48"/>
    <w:rsid w:val="009D3BAD"/>
    <w:rsid w:val="00A13A4F"/>
    <w:rsid w:val="00A50D72"/>
    <w:rsid w:val="00A71652"/>
    <w:rsid w:val="00AA2B16"/>
    <w:rsid w:val="00AF6AA2"/>
    <w:rsid w:val="00B127BC"/>
    <w:rsid w:val="00B24FFF"/>
    <w:rsid w:val="00B26B13"/>
    <w:rsid w:val="00B44BA6"/>
    <w:rsid w:val="00B609F2"/>
    <w:rsid w:val="00B8512D"/>
    <w:rsid w:val="00B9710E"/>
    <w:rsid w:val="00BA267A"/>
    <w:rsid w:val="00BB5CBB"/>
    <w:rsid w:val="00BC4CC7"/>
    <w:rsid w:val="00BC5D5B"/>
    <w:rsid w:val="00BE6BC6"/>
    <w:rsid w:val="00BF06BC"/>
    <w:rsid w:val="00BF52AD"/>
    <w:rsid w:val="00C0670F"/>
    <w:rsid w:val="00C147CC"/>
    <w:rsid w:val="00C535BB"/>
    <w:rsid w:val="00C60104"/>
    <w:rsid w:val="00CB71F0"/>
    <w:rsid w:val="00CB7B2A"/>
    <w:rsid w:val="00D05529"/>
    <w:rsid w:val="00D1073E"/>
    <w:rsid w:val="00D10E17"/>
    <w:rsid w:val="00D723C1"/>
    <w:rsid w:val="00D73C31"/>
    <w:rsid w:val="00D776FF"/>
    <w:rsid w:val="00D80CE3"/>
    <w:rsid w:val="00D86088"/>
    <w:rsid w:val="00DA7D14"/>
    <w:rsid w:val="00DD5717"/>
    <w:rsid w:val="00DF0C1B"/>
    <w:rsid w:val="00E1541C"/>
    <w:rsid w:val="00E32A9C"/>
    <w:rsid w:val="00E54EA9"/>
    <w:rsid w:val="00E864B6"/>
    <w:rsid w:val="00EA2016"/>
    <w:rsid w:val="00EB0333"/>
    <w:rsid w:val="00EB3620"/>
    <w:rsid w:val="00EB75D2"/>
    <w:rsid w:val="00EC2C77"/>
    <w:rsid w:val="00EF1D5E"/>
    <w:rsid w:val="00F83DC7"/>
    <w:rsid w:val="00F84209"/>
    <w:rsid w:val="00FA3970"/>
    <w:rsid w:val="00FB4F68"/>
    <w:rsid w:val="00FC1FF4"/>
    <w:rsid w:val="00FE68BC"/>
    <w:rsid w:val="00FF14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44389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751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751832"/>
    <w:pPr>
      <w:widowControl/>
      <w:numPr>
        <w:numId w:val="1"/>
      </w:numPr>
      <w:spacing w:before="60"/>
      <w:jc w:val="left"/>
    </w:pPr>
    <w:rPr>
      <w:rFonts w:ascii="Arial" w:eastAsia="ＭＳ 明朝" w:hAnsi="Arial" w:cs="Times New Roman"/>
      <w:b/>
      <w:kern w:val="0"/>
      <w:sz w:val="20"/>
      <w:szCs w:val="24"/>
      <w:lang w:eastAsia="en-GB"/>
    </w:rPr>
  </w:style>
  <w:style w:type="paragraph" w:styleId="a9">
    <w:name w:val="List Paragraph"/>
    <w:basedOn w:val="a"/>
    <w:uiPriority w:val="34"/>
    <w:qFormat/>
    <w:rsid w:val="0082163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298</TotalTime>
  <Pages>3</Pages>
  <Words>1204</Words>
  <Characters>6867</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100</cp:revision>
  <dcterms:created xsi:type="dcterms:W3CDTF">2019-04-30T06:30:00Z</dcterms:created>
  <dcterms:modified xsi:type="dcterms:W3CDTF">2023-02-17T05:25:00Z</dcterms:modified>
</cp:coreProperties>
</file>